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</w:t>
      </w:r>
    </w:p>
    <w:p w14:paraId="02000000">
      <w:pPr>
        <w:spacing w:after="0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об итогах работы </w:t>
      </w:r>
      <w:r>
        <w:rPr>
          <w:rFonts w:ascii="Times New Roman" w:hAnsi="Times New Roman"/>
          <w:b w:val="1"/>
          <w:sz w:val="28"/>
        </w:rPr>
        <w:t>Курмышского</w:t>
      </w:r>
      <w:r>
        <w:rPr>
          <w:rFonts w:ascii="Times New Roman" w:hAnsi="Times New Roman"/>
          <w:b w:val="1"/>
          <w:sz w:val="28"/>
        </w:rPr>
        <w:t xml:space="preserve"> территориального отдела </w:t>
      </w:r>
      <w:r>
        <w:rPr>
          <w:rFonts w:ascii="Times New Roman" w:hAnsi="Times New Roman"/>
          <w:b w:val="1"/>
          <w:sz w:val="28"/>
        </w:rPr>
        <w:t xml:space="preserve">Пильнинского муниципального округа Нижегородской области </w:t>
      </w:r>
    </w:p>
    <w:p w14:paraId="03000000">
      <w:pPr>
        <w:spacing w:after="0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4000000">
      <w:pPr>
        <w:ind w:firstLine="540"/>
        <w:rPr>
          <w:rFonts w:ascii="Times New Roman" w:hAnsi="Times New Roman"/>
          <w:sz w:val="28"/>
        </w:rPr>
      </w:pPr>
    </w:p>
    <w:p w14:paraId="05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Краткая характеристика:</w:t>
      </w:r>
    </w:p>
    <w:p w14:paraId="06000000">
      <w:pPr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КУРМЫШСКИЙ </w:t>
      </w:r>
      <w:r>
        <w:rPr>
          <w:rFonts w:ascii="Times New Roman" w:hAnsi="Times New Roman"/>
          <w:sz w:val="24"/>
        </w:rPr>
        <w:t xml:space="preserve"> ТЕРРИТОРИАЛЬНЫЙ ОТДЕЛ АДМИНИСТРАЦИИ ПИЛЬНИНСКОГО МУНИЦИПАЛЬНОГО ОКРУГА НИЖЕГОРОДСКОЙ ОБЛАСТИ (казенное учреждение)                                                                                                                                                                                                                        </w:t>
      </w:r>
    </w:p>
    <w:p w14:paraId="07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Курмышский</w:t>
      </w:r>
      <w:r>
        <w:rPr>
          <w:rFonts w:ascii="Times New Roman" w:hAnsi="Times New Roman"/>
          <w:sz w:val="24"/>
        </w:rPr>
        <w:t xml:space="preserve"> территориальный отдел администрации Пильнинского муниципального округа Нижегородской области (далее - Территориальный отдел) является структурным подразделением администрации Пильнинского муниципального округа Нижегородской области (далее – Администрация округа), создан в соответствии со структурой администрации Пильнинского муниципального округа для реализации отдельных управленческих и иных полномочий Администрации на территории административно-территориального образования </w:t>
      </w:r>
      <w:r>
        <w:rPr>
          <w:rFonts w:ascii="Times New Roman" w:hAnsi="Times New Roman"/>
          <w:sz w:val="24"/>
        </w:rPr>
        <w:t>Курмышский</w:t>
      </w:r>
      <w:r>
        <w:rPr>
          <w:rFonts w:ascii="Times New Roman" w:hAnsi="Times New Roman"/>
          <w:sz w:val="24"/>
        </w:rPr>
        <w:t xml:space="preserve"> сельсовет, включающего в свой следующие населенные пункты: село </w:t>
      </w: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 xml:space="preserve"> (далее - подведомственная территория).</w:t>
      </w:r>
    </w:p>
    <w:p w14:paraId="08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Правовое обеспечение: Федеральный закон от 06.10.2003г. № 131 ФЗ «Об общих принципах организации местного самоуправления в Российской Федерации», Положения «О </w:t>
      </w:r>
      <w:r>
        <w:rPr>
          <w:rFonts w:ascii="Times New Roman" w:hAnsi="Times New Roman"/>
          <w:sz w:val="24"/>
        </w:rPr>
        <w:t>Курмышском</w:t>
      </w:r>
      <w:r>
        <w:rPr>
          <w:rFonts w:ascii="Times New Roman" w:hAnsi="Times New Roman"/>
          <w:sz w:val="24"/>
        </w:rPr>
        <w:t xml:space="preserve"> территориальном отделе Администрации Пильнинского муниципального округа Нижегородской области» Утверждено Решением Совета депутатов Пильнинского муниципального округа Нижегородской области</w:t>
      </w:r>
      <w:r>
        <w:rPr>
          <w:rFonts w:ascii="Times New Roman" w:hAnsi="Times New Roman"/>
          <w:sz w:val="24"/>
        </w:rPr>
        <w:t xml:space="preserve"> от «09» декабря 2022 года №107.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Территориальный отдел наделен правами юридического лица,</w:t>
      </w:r>
      <w:r>
        <w:rPr>
          <w:rFonts w:ascii="Times New Roman" w:hAnsi="Times New Roman"/>
          <w:color w:val="1A1A1A"/>
          <w:sz w:val="24"/>
        </w:rPr>
        <w:t xml:space="preserve"> имеет гербовую печать, штампы,</w:t>
      </w:r>
      <w:r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>бланки и иные реквизиты, предусмотренные действующим законодательством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Территориальный отдел осуществляет свою деятельность за счет</w:t>
      </w:r>
      <w:r>
        <w:rPr>
          <w:rFonts w:ascii="Times New Roman" w:hAnsi="Times New Roman"/>
          <w:color w:val="1A1A1A"/>
          <w:sz w:val="24"/>
        </w:rPr>
        <w:t xml:space="preserve"> средств муниципального округа,</w:t>
      </w:r>
      <w:r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>выделяемых на его содержание и на основании бюджетной сметы как казенное учреждение</w:t>
      </w:r>
      <w:r>
        <w:rPr>
          <w:rFonts w:ascii="Times New Roman" w:hAnsi="Times New Roman"/>
          <w:color w:val="1A1A1A"/>
          <w:sz w:val="24"/>
        </w:rPr>
        <w:t>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Руководство деятельностью Территориального отдела осуществляет начальник отдела, назн</w:t>
      </w:r>
      <w:r>
        <w:rPr>
          <w:rFonts w:ascii="Times New Roman" w:hAnsi="Times New Roman"/>
          <w:color w:val="1A1A1A"/>
          <w:sz w:val="24"/>
        </w:rPr>
        <w:t xml:space="preserve">ачаемый </w:t>
      </w:r>
      <w:r>
        <w:rPr>
          <w:rFonts w:ascii="Times New Roman" w:hAnsi="Times New Roman"/>
          <w:color w:val="1A1A1A"/>
          <w:sz w:val="24"/>
        </w:rPr>
        <w:t>на должность главой местного самоуправления Пильнинского муниципального округа</w:t>
      </w:r>
      <w:r>
        <w:rPr>
          <w:rFonts w:ascii="Times New Roman" w:hAnsi="Times New Roman"/>
          <w:color w:val="1A1A1A"/>
          <w:sz w:val="24"/>
        </w:rPr>
        <w:t>.</w:t>
      </w: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Должностей </w:t>
      </w:r>
      <w:r>
        <w:rPr>
          <w:rFonts w:ascii="Times New Roman" w:hAnsi="Times New Roman"/>
          <w:sz w:val="24"/>
        </w:rPr>
        <w:t>по состоянию на 01.01.2026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 xml:space="preserve">по штатным расписаниям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факти</w:t>
      </w:r>
      <w:r>
        <w:rPr>
          <w:rFonts w:ascii="Times New Roman" w:hAnsi="Times New Roman"/>
          <w:sz w:val="24"/>
        </w:rPr>
        <w:t xml:space="preserve">ческое  количество работников </w:t>
      </w:r>
      <w:r>
        <w:rPr>
          <w:rFonts w:ascii="Times New Roman" w:hAnsi="Times New Roman"/>
          <w:sz w:val="24"/>
        </w:rPr>
        <w:t xml:space="preserve">  всего:                                                   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,0                 </w:t>
      </w:r>
      <w:r>
        <w:rPr>
          <w:rFonts w:ascii="Times New Roman" w:hAnsi="Times New Roman"/>
          <w:sz w:val="24"/>
        </w:rPr>
        <w:t xml:space="preserve">                               9</w:t>
      </w:r>
    </w:p>
    <w:p w14:paraId="0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т.ч.</w:t>
      </w:r>
    </w:p>
    <w:p w14:paraId="0F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служащих, </w:t>
      </w:r>
    </w:p>
    <w:p w14:paraId="10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замещающих д</w:t>
      </w:r>
      <w:r>
        <w:rPr>
          <w:rFonts w:ascii="Times New Roman" w:hAnsi="Times New Roman"/>
          <w:sz w:val="24"/>
        </w:rPr>
        <w:t>олжности</w:t>
      </w:r>
    </w:p>
    <w:p w14:paraId="11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муниципальной службы </w:t>
      </w:r>
      <w:r>
        <w:rPr>
          <w:rFonts w:ascii="Times New Roman" w:hAnsi="Times New Roman"/>
          <w:sz w:val="24"/>
        </w:rPr>
        <w:t xml:space="preserve">                    2,0                                              2  </w:t>
      </w:r>
    </w:p>
    <w:p w14:paraId="12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работники аппарата (не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муни</w:t>
      </w:r>
      <w:r>
        <w:rPr>
          <w:rFonts w:ascii="Times New Roman" w:hAnsi="Times New Roman"/>
          <w:sz w:val="24"/>
        </w:rPr>
        <w:t>ципальные служащие: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бухгалтер,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делопроизводитель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3,0                </w:t>
      </w:r>
      <w:r>
        <w:rPr>
          <w:rFonts w:ascii="Times New Roman" w:hAnsi="Times New Roman"/>
          <w:sz w:val="24"/>
        </w:rPr>
        <w:t xml:space="preserve">                              3</w:t>
      </w: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водитель </w:t>
      </w:r>
    </w:p>
    <w:p w14:paraId="13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-работники культуры                          1,5                                              2</w:t>
      </w:r>
    </w:p>
    <w:p w14:paraId="14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-работники по благоустройству</w:t>
      </w:r>
      <w:r>
        <w:rPr>
          <w:rFonts w:ascii="Times New Roman" w:hAnsi="Times New Roman"/>
          <w:sz w:val="24"/>
        </w:rPr>
        <w:t xml:space="preserve">:     </w:t>
      </w:r>
    </w:p>
    <w:p w14:paraId="15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электрик (совместитель внешний)   0,5                                              1</w:t>
      </w:r>
    </w:p>
    <w:p w14:paraId="16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уборщик территорий                         1,0                                              1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рабочие места оснащены современными основными средствами (компьютеры, ноутбуки, МФУ, принтеры, мебель),  отвечающими требованиям безопасности. </w:t>
      </w:r>
    </w:p>
    <w:p w14:paraId="18000000">
      <w:pPr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основные средства находятся в удовлетворительном состоянии.</w:t>
      </w:r>
    </w:p>
    <w:p w14:paraId="19000000">
      <w:pPr>
        <w:spacing w:after="0"/>
        <w:ind/>
        <w:jc w:val="both"/>
        <w:rPr>
          <w:rFonts w:ascii="Times New Roman" w:hAnsi="Times New Roman"/>
        </w:rPr>
      </w:pPr>
    </w:p>
    <w:p w14:paraId="1A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Расходы территориального отдела</w:t>
      </w:r>
    </w:p>
    <w:p w14:paraId="1B000000">
      <w:pPr>
        <w:spacing w:after="0"/>
        <w:ind/>
        <w:jc w:val="both"/>
        <w:rPr>
          <w:rFonts w:ascii="Times New Roman" w:hAnsi="Times New Roman"/>
        </w:rPr>
      </w:pPr>
    </w:p>
    <w:tbl>
      <w:tblPr>
        <w:tblStyle w:val="Style_1"/>
        <w:tblInd w:type="dxa" w:w="-552"/>
        <w:tblLayout w:type="fixed"/>
        <w:tblCellMar>
          <w:left w:type="dxa" w:w="0"/>
          <w:right w:type="dxa" w:w="0"/>
        </w:tblCellMar>
      </w:tblPr>
      <w:tblGrid>
        <w:gridCol w:w="2985"/>
        <w:gridCol w:w="1870"/>
        <w:gridCol w:w="1524"/>
        <w:gridCol w:w="1985"/>
        <w:gridCol w:w="1701"/>
      </w:tblGrid>
      <w:tr>
        <w:trPr>
          <w:trHeight w:hRule="atLeast" w:val="1095"/>
        </w:trPr>
        <w:tc>
          <w:tcPr>
            <w:tcW w:type="dxa" w:w="2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87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расхода по бюджетной классификации </w:t>
            </w:r>
          </w:p>
        </w:tc>
        <w:tc>
          <w:tcPr>
            <w:tcW w:type="dxa" w:w="152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Уточненные бюджетные назнач</w:t>
            </w:r>
            <w:r>
              <w:rPr>
                <w:rFonts w:ascii="Times New Roman" w:hAnsi="Times New Roman"/>
                <w:sz w:val="24"/>
              </w:rPr>
              <w:t>ения по состоянию на 01.01.2026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 на 01.01.202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%% исполнения к году</w:t>
            </w:r>
          </w:p>
        </w:tc>
      </w:tr>
      <w:tr>
        <w:trPr>
          <w:trHeight w:hRule="atLeast" w:val="593"/>
        </w:trPr>
        <w:tc>
          <w:tcPr>
            <w:tcW w:type="dxa" w:w="2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87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</w:tr>
      <w:tr>
        <w:trPr>
          <w:trHeight w:hRule="atLeast" w:val="593"/>
        </w:trPr>
        <w:tc>
          <w:tcPr>
            <w:tcW w:type="dxa" w:w="2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87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</w:tr>
      <w:tr>
        <w:trPr>
          <w:trHeight w:hRule="atLeast" w:val="593"/>
        </w:trPr>
        <w:tc>
          <w:tcPr>
            <w:tcW w:type="dxa" w:w="2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87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</w:tr>
      <w:tr>
        <w:trPr>
          <w:trHeight w:hRule="atLeast" w:val="593"/>
        </w:trPr>
        <w:tc>
          <w:tcPr>
            <w:tcW w:type="dxa" w:w="2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87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15"/>
        </w:trPr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6000000">
            <w:pPr>
              <w:rPr>
                <w:rFonts w:ascii="Times New Roman" w:hAnsi="Times New Roman"/>
                <w:sz w:val="24"/>
              </w:rPr>
            </w:pPr>
            <w:bookmarkStart w:id="1" w:name="RANGE!A10"/>
            <w:r>
              <w:rPr>
                <w:rFonts w:ascii="Times New Roman" w:hAnsi="Times New Roman"/>
                <w:sz w:val="24"/>
              </w:rPr>
              <w:t>Расходы бюджета  всего</w:t>
            </w:r>
            <w:bookmarkEnd w:id="1"/>
          </w:p>
        </w:tc>
        <w:tc>
          <w:tcPr>
            <w:tcW w:type="dxa" w:w="18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8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18582,6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9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16483,2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A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88,7</w:t>
            </w:r>
          </w:p>
        </w:tc>
      </w:tr>
      <w:tr>
        <w:trPr>
          <w:trHeight w:hRule="atLeast" w:val="315"/>
        </w:trPr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8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D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E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F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type="dxa" w:w="18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0100 </w:t>
            </w:r>
          </w:p>
        </w:tc>
        <w:tc>
          <w:tcPr>
            <w:tcW w:type="dxa" w:w="15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2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3963,9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3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3935,9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4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9,3</w:t>
            </w:r>
          </w:p>
        </w:tc>
      </w:tr>
      <w:tr>
        <w:trPr>
          <w:trHeight w:hRule="atLeast" w:val="315"/>
        </w:trPr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type="dxa" w:w="18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0400 </w:t>
            </w:r>
          </w:p>
        </w:tc>
        <w:tc>
          <w:tcPr>
            <w:tcW w:type="dxa" w:w="15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7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8805,5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8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6747,1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9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76,6</w:t>
            </w:r>
          </w:p>
        </w:tc>
      </w:tr>
      <w:tr>
        <w:trPr>
          <w:trHeight w:hRule="atLeast" w:val="690"/>
        </w:trPr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Жилищно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type="dxa" w:w="18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0500 </w:t>
            </w:r>
          </w:p>
        </w:tc>
        <w:tc>
          <w:tcPr>
            <w:tcW w:type="dxa" w:w="15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C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4545,2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D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4545,2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E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и кинематография.</w:t>
            </w:r>
          </w:p>
        </w:tc>
        <w:tc>
          <w:tcPr>
            <w:tcW w:type="dxa" w:w="18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0800 </w:t>
            </w:r>
          </w:p>
        </w:tc>
        <w:tc>
          <w:tcPr>
            <w:tcW w:type="dxa" w:w="15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1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1268,0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2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3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99,0</w:t>
            </w:r>
          </w:p>
        </w:tc>
      </w:tr>
    </w:tbl>
    <w:p w14:paraId="44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45000000">
      <w:pPr>
        <w:spacing w:after="0" w:line="242" w:lineRule="atLeast"/>
        <w:ind w:firstLine="426"/>
        <w:jc w:val="center"/>
        <w:rPr>
          <w:rFonts w:ascii="Times New Roman" w:hAnsi="Times New Roman"/>
          <w:b w:val="1"/>
          <w:color w:val="212121"/>
          <w:sz w:val="24"/>
        </w:rPr>
      </w:pPr>
      <w:r>
        <w:rPr>
          <w:rFonts w:ascii="Times New Roman" w:hAnsi="Times New Roman"/>
          <w:b w:val="1"/>
          <w:color w:val="212121"/>
          <w:sz w:val="24"/>
        </w:rPr>
        <w:t xml:space="preserve"> </w:t>
      </w:r>
      <w:r>
        <w:rPr>
          <w:rFonts w:ascii="Times New Roman" w:hAnsi="Times New Roman"/>
          <w:b w:val="1"/>
          <w:color w:val="212121"/>
          <w:sz w:val="24"/>
        </w:rPr>
        <w:t>«Дорожное хозяйство (дорожные фонды)»</w:t>
      </w:r>
      <w:r>
        <w:rPr>
          <w:rFonts w:ascii="Times New Roman" w:hAnsi="Times New Roman"/>
          <w:b w:val="1"/>
          <w:color w:val="212121"/>
          <w:sz w:val="24"/>
        </w:rPr>
        <w:br/>
      </w:r>
    </w:p>
    <w:p w14:paraId="46000000">
      <w:pPr>
        <w:spacing w:after="0" w:line="242" w:lineRule="atLeast"/>
        <w:ind w:firstLine="426"/>
        <w:rPr>
          <w:rFonts w:ascii="Times New Roman" w:hAnsi="Times New Roman"/>
          <w:color w:val="212121"/>
          <w:sz w:val="24"/>
        </w:rPr>
      </w:pPr>
      <w:r>
        <w:rPr>
          <w:rFonts w:ascii="Times New Roman" w:hAnsi="Times New Roman"/>
          <w:color w:val="212121"/>
          <w:sz w:val="24"/>
        </w:rPr>
        <w:t>Актуальным вопросом в работе территориального отдела является дорожное хозяйство</w:t>
      </w:r>
      <w:r>
        <w:rPr>
          <w:rFonts w:ascii="Times New Roman" w:hAnsi="Times New Roman"/>
          <w:color w:val="212121"/>
          <w:sz w:val="24"/>
        </w:rPr>
        <w:t xml:space="preserve"> (дорожные фонды)</w:t>
      </w:r>
      <w:r>
        <w:rPr>
          <w:rFonts w:ascii="Times New Roman" w:hAnsi="Times New Roman"/>
          <w:color w:val="212121"/>
          <w:sz w:val="24"/>
        </w:rPr>
        <w:t>.</w:t>
      </w:r>
      <w:r>
        <w:rPr>
          <w:rFonts w:ascii="Times New Roman" w:hAnsi="Times New Roman"/>
          <w:color w:val="212121"/>
          <w:sz w:val="24"/>
        </w:rPr>
        <w:t xml:space="preserve"> Качество дорог зависит от  своевременного проведения их ремонта.</w:t>
      </w:r>
      <w:r>
        <w:rPr>
          <w:rFonts w:ascii="Times New Roman" w:hAnsi="Times New Roman"/>
          <w:color w:val="212121"/>
          <w:sz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212121"/>
          <w:sz w:val="24"/>
        </w:rPr>
        <w:t xml:space="preserve">                   </w:t>
      </w:r>
    </w:p>
    <w:p w14:paraId="47000000">
      <w:pPr>
        <w:spacing w:after="0" w:line="242" w:lineRule="atLeast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Благодаря нашему участию по инициативному бюджетированию «Вам решать!»  были проведены работы 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«Ремонту </w:t>
      </w:r>
      <w:r>
        <w:rPr>
          <w:rFonts w:ascii="Times New Roman" w:hAnsi="Times New Roman"/>
        </w:rPr>
        <w:t>автодороги по ул. Алексеевка</w:t>
      </w:r>
      <w:r>
        <w:rPr>
          <w:rFonts w:ascii="Times New Roman" w:hAnsi="Times New Roman"/>
        </w:rPr>
        <w:t>-2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д.№30а до д.№18, от д.№9 до пирса (пожарный водоем)</w:t>
      </w:r>
      <w:r>
        <w:rPr>
          <w:rFonts w:ascii="Times New Roman" w:hAnsi="Times New Roman"/>
        </w:rPr>
        <w:t xml:space="preserve"> в с.Курмыш</w:t>
      </w:r>
      <w:r>
        <w:rPr>
          <w:rFonts w:ascii="Times New Roman" w:hAnsi="Times New Roman"/>
        </w:rPr>
        <w:t xml:space="preserve"> Пильнинского муниципального округа Нижегородской области» и «Ремонту автодороги по ул.Стрелецкая от д.№34 до д.№12 в с.Курмыш Пильнинского муниципального округа Нижегородской области» </w:t>
      </w:r>
      <w:r>
        <w:rPr>
          <w:rFonts w:ascii="Times New Roman" w:hAnsi="Times New Roman"/>
        </w:rPr>
        <w:t xml:space="preserve"> - при помощи частичного соф</w:t>
      </w:r>
      <w:r>
        <w:rPr>
          <w:rFonts w:ascii="Times New Roman" w:hAnsi="Times New Roman"/>
        </w:rPr>
        <w:t>инансирования области и внесения</w:t>
      </w:r>
      <w:r>
        <w:rPr>
          <w:rFonts w:ascii="Times New Roman" w:hAnsi="Times New Roman"/>
        </w:rPr>
        <w:t xml:space="preserve"> денежных средств спонсоров.</w:t>
      </w:r>
    </w:p>
    <w:p w14:paraId="48000000">
      <w:pPr>
        <w:spacing w:after="0" w:line="242" w:lineRule="atLeast"/>
        <w:ind w:firstLine="426"/>
        <w:rPr>
          <w:rFonts w:ascii="Times New Roman" w:hAnsi="Times New Roman"/>
          <w:color w:val="212121"/>
          <w:sz w:val="24"/>
        </w:rPr>
      </w:pPr>
      <w:r>
        <w:rPr>
          <w:rFonts w:ascii="Times New Roman" w:hAnsi="Times New Roman"/>
        </w:rPr>
        <w:t xml:space="preserve">В зимнее время территориальным отделом проводились работы </w:t>
      </w:r>
      <w:r>
        <w:rPr>
          <w:rFonts w:ascii="Times New Roman" w:hAnsi="Times New Roman"/>
        </w:rPr>
        <w:t xml:space="preserve">по очистке </w:t>
      </w:r>
      <w:r>
        <w:rPr>
          <w:rFonts w:ascii="Times New Roman" w:hAnsi="Times New Roman"/>
        </w:rPr>
        <w:t>дорог от снег</w:t>
      </w:r>
      <w:r>
        <w:rPr>
          <w:rFonts w:ascii="Times New Roman" w:hAnsi="Times New Roman"/>
        </w:rPr>
        <w:t>а, в летнее время – работы по о</w:t>
      </w:r>
      <w:r>
        <w:rPr>
          <w:rFonts w:ascii="Times New Roman" w:hAnsi="Times New Roman"/>
        </w:rPr>
        <w:t>кашиванию  обочин дорог.</w:t>
      </w:r>
    </w:p>
    <w:p w14:paraId="49000000">
      <w:pPr>
        <w:spacing w:after="0" w:line="242" w:lineRule="atLeast"/>
        <w:ind w:firstLine="426"/>
        <w:jc w:val="center"/>
        <w:rPr>
          <w:rFonts w:ascii="Times New Roman" w:hAnsi="Times New Roman"/>
          <w:b w:val="1"/>
          <w:color w:val="212121"/>
          <w:sz w:val="24"/>
        </w:rPr>
      </w:pPr>
    </w:p>
    <w:p w14:paraId="4A000000">
      <w:pPr>
        <w:spacing w:after="0" w:line="242" w:lineRule="atLeast"/>
        <w:ind w:firstLine="426"/>
        <w:rPr>
          <w:rFonts w:ascii="Times New Roman" w:hAnsi="Times New Roman"/>
          <w:b w:val="1"/>
          <w:color w:val="212121"/>
          <w:sz w:val="24"/>
        </w:rPr>
      </w:pPr>
    </w:p>
    <w:p w14:paraId="4B000000">
      <w:pPr>
        <w:spacing w:after="0" w:line="242" w:lineRule="atLeast"/>
        <w:ind w:firstLine="426"/>
        <w:rPr>
          <w:rFonts w:ascii="Times New Roman" w:hAnsi="Times New Roman"/>
          <w:b w:val="1"/>
          <w:color w:val="212121"/>
          <w:sz w:val="24"/>
        </w:rPr>
      </w:pPr>
    </w:p>
    <w:p w14:paraId="4C000000">
      <w:pPr>
        <w:spacing w:after="0" w:line="242" w:lineRule="atLeast"/>
        <w:ind w:firstLine="426"/>
        <w:jc w:val="center"/>
        <w:rPr>
          <w:rFonts w:ascii="Times New Roman" w:hAnsi="Times New Roman"/>
          <w:b w:val="1"/>
          <w:color w:val="212121"/>
          <w:sz w:val="24"/>
        </w:rPr>
      </w:pPr>
      <w:r>
        <w:rPr>
          <w:rFonts w:ascii="Times New Roman" w:hAnsi="Times New Roman"/>
          <w:b w:val="1"/>
          <w:color w:val="212121"/>
          <w:sz w:val="24"/>
        </w:rPr>
        <w:t>«</w:t>
      </w:r>
      <w:r>
        <w:rPr>
          <w:rFonts w:ascii="Times New Roman" w:hAnsi="Times New Roman"/>
          <w:b w:val="1"/>
          <w:color w:val="212121"/>
          <w:sz w:val="24"/>
        </w:rPr>
        <w:t>Благоустройство</w:t>
      </w:r>
      <w:r>
        <w:rPr>
          <w:rFonts w:ascii="Times New Roman" w:hAnsi="Times New Roman"/>
          <w:b w:val="1"/>
          <w:color w:val="212121"/>
          <w:sz w:val="24"/>
        </w:rPr>
        <w:t>»</w:t>
      </w:r>
    </w:p>
    <w:p w14:paraId="4D000000">
      <w:pPr>
        <w:spacing w:after="0" w:line="242" w:lineRule="atLeast"/>
        <w:ind w:firstLine="426"/>
        <w:rPr>
          <w:rFonts w:ascii="Times New Roman" w:hAnsi="Times New Roman"/>
          <w:color w:val="212121"/>
          <w:sz w:val="24"/>
        </w:rPr>
      </w:pPr>
    </w:p>
    <w:p w14:paraId="4E000000">
      <w:pPr>
        <w:pStyle w:val="Style_2"/>
        <w:spacing w:after="0" w:before="0"/>
        <w:ind/>
      </w:pPr>
      <w:r>
        <w:t xml:space="preserve">     </w:t>
      </w:r>
      <w:r>
        <w:t>Также актуальным вопросом</w:t>
      </w:r>
      <w:r>
        <w:t xml:space="preserve"> в работе </w:t>
      </w:r>
      <w:r>
        <w:t xml:space="preserve">территориального отдела является </w:t>
      </w:r>
      <w:r>
        <w:t xml:space="preserve">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14:paraId="4F000000">
      <w:pPr>
        <w:pStyle w:val="Style_2"/>
        <w:spacing w:after="0" w:before="0"/>
        <w:ind/>
        <w:jc w:val="both"/>
        <w:rPr>
          <w:color w:val="273350"/>
        </w:rPr>
      </w:pPr>
      <w:r>
        <w:rPr>
          <w:color w:val="212121"/>
        </w:rPr>
        <w:t xml:space="preserve">    </w:t>
      </w:r>
      <w:r>
        <w:rPr>
          <w:color w:val="212121"/>
        </w:rPr>
        <w:t xml:space="preserve">  </w:t>
      </w:r>
      <w:r>
        <w:rPr>
          <w:color w:val="212121"/>
          <w:highlight w:val="white"/>
        </w:rPr>
        <w:t>В течение 2025</w:t>
      </w:r>
      <w:r>
        <w:rPr>
          <w:color w:val="212121"/>
          <w:highlight w:val="white"/>
        </w:rPr>
        <w:t xml:space="preserve"> года регулярно проводились субботники по благоустройству территории общественных мест, по уборке кладбищ</w:t>
      </w:r>
      <w:r>
        <w:rPr>
          <w:color w:val="212121"/>
          <w:highlight w:val="white"/>
        </w:rPr>
        <w:t>а</w:t>
      </w:r>
      <w:r>
        <w:rPr>
          <w:color w:val="212121"/>
          <w:highlight w:val="white"/>
        </w:rPr>
        <w:t xml:space="preserve">  (</w:t>
      </w:r>
      <w:r>
        <w:rPr>
          <w:color w:val="273350"/>
        </w:rPr>
        <w:t xml:space="preserve">вывоз мусора с удалением упавших деревьев). </w:t>
      </w:r>
    </w:p>
    <w:p w14:paraId="50000000">
      <w:pPr>
        <w:pStyle w:val="Style_2"/>
        <w:spacing w:after="0" w:before="0"/>
        <w:ind/>
        <w:jc w:val="both"/>
        <w:rPr>
          <w:color w:val="212121"/>
        </w:rPr>
      </w:pPr>
      <w:r>
        <w:rPr>
          <w:color w:val="212121"/>
          <w:highlight w:val="white"/>
        </w:rPr>
        <w:t>Регулярно выкашивалась сорная растительность на территории села, вдоль</w:t>
      </w:r>
      <w:r>
        <w:rPr>
          <w:color w:val="212121"/>
          <w:highlight w:val="white"/>
        </w:rPr>
        <w:t xml:space="preserve"> обочин дорог местного значения,</w:t>
      </w:r>
      <w:r>
        <w:rPr>
          <w:color w:val="212121"/>
        </w:rPr>
        <w:t xml:space="preserve"> проводились  работы по </w:t>
      </w:r>
      <w:r>
        <w:t>вырубке деревьев и кустарников с утилизацией порубочных остатков вдоль дорог сел</w:t>
      </w:r>
      <w:r>
        <w:rPr>
          <w:color w:val="212121"/>
          <w:highlight w:val="white"/>
        </w:rPr>
        <w:t>а.</w:t>
      </w:r>
      <w:r>
        <w:rPr>
          <w:color w:val="212121"/>
        </w:rPr>
        <w:br/>
      </w:r>
      <w:r>
        <w:rPr>
          <w:color w:val="212121"/>
        </w:rPr>
        <w:t xml:space="preserve">    </w:t>
      </w:r>
      <w:r>
        <w:rPr>
          <w:color w:val="212121"/>
        </w:rPr>
        <w:t>Одним из наиболее важных вопросов остается санитарное состояние.</w:t>
      </w:r>
    </w:p>
    <w:p w14:paraId="51000000">
      <w:pPr>
        <w:pStyle w:val="Style_2"/>
        <w:spacing w:after="0" w:before="0"/>
        <w:ind/>
        <w:jc w:val="both"/>
        <w:rPr>
          <w:color w:val="212121"/>
        </w:rPr>
      </w:pPr>
      <w:r>
        <w:rPr>
          <w:color w:val="212121"/>
        </w:rPr>
        <w:t xml:space="preserve">  </w:t>
      </w:r>
      <w:r>
        <w:rPr>
          <w:color w:val="212121"/>
        </w:rPr>
        <w:t xml:space="preserve">  </w:t>
      </w:r>
      <w:r>
        <w:rPr>
          <w:color w:val="212121"/>
        </w:rPr>
        <w:t xml:space="preserve"> </w:t>
      </w:r>
      <w:r>
        <w:rPr>
          <w:color w:val="212121"/>
        </w:rPr>
        <w:t xml:space="preserve"> </w:t>
      </w:r>
      <w:r>
        <w:rPr>
          <w:color w:val="212121"/>
        </w:rPr>
        <w:t xml:space="preserve"> </w:t>
      </w:r>
      <w:r>
        <w:rPr>
          <w:color w:val="212121"/>
        </w:rPr>
        <w:t xml:space="preserve">На территории села  сбор и вывоз коммунальных отходов осуществляется региональным оператором ООО «МСК-НТ». </w:t>
      </w:r>
      <w:r>
        <w:rPr>
          <w:color w:val="212121"/>
        </w:rPr>
        <w:t xml:space="preserve"> ТКО вывозятся </w:t>
      </w:r>
      <w:r>
        <w:rPr>
          <w:color w:val="212121"/>
        </w:rPr>
        <w:t xml:space="preserve">регулярно по графику (по заявке).     </w:t>
      </w:r>
    </w:p>
    <w:p w14:paraId="52000000">
      <w:pPr>
        <w:pStyle w:val="Style_3"/>
        <w:spacing w:line="240" w:lineRule="auto"/>
        <w:ind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 xml:space="preserve">акже </w:t>
      </w:r>
      <w:r>
        <w:rPr>
          <w:sz w:val="24"/>
        </w:rPr>
        <w:t xml:space="preserve"> в 2025</w:t>
      </w:r>
      <w:r>
        <w:rPr>
          <w:sz w:val="24"/>
        </w:rPr>
        <w:t xml:space="preserve"> году </w:t>
      </w:r>
      <w:r>
        <w:rPr>
          <w:sz w:val="24"/>
        </w:rPr>
        <w:t xml:space="preserve">были проведены мероприятия по  </w:t>
      </w:r>
      <w:r>
        <w:rPr>
          <w:sz w:val="24"/>
        </w:rPr>
        <w:t>обработке территории от борщевика</w:t>
      </w:r>
      <w:r>
        <w:rPr>
          <w:sz w:val="24"/>
        </w:rPr>
        <w:t xml:space="preserve"> Сосновского.</w:t>
      </w:r>
    </w:p>
    <w:p w14:paraId="53000000">
      <w:pPr>
        <w:spacing w:after="0" w:line="242" w:lineRule="atLeast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программе комплексное развитие сельских территорий (мероприятия по б</w:t>
      </w:r>
      <w:r>
        <w:rPr>
          <w:rFonts w:ascii="Times New Roman" w:hAnsi="Times New Roman"/>
          <w:sz w:val="24"/>
        </w:rPr>
        <w:t>лагоустройству) в с. Курмыш был проведен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«Ремонт автомобильной дороги общего пользования местного значения по ул.Юбилейная в с.Курмыш Пильнинского муниципального округа Нижегородской области» за счет частичного софинансирования области и внесения денежных средств спонсоров.</w:t>
      </w:r>
    </w:p>
    <w:p w14:paraId="54000000">
      <w:pPr>
        <w:spacing w:after="0" w:line="242" w:lineRule="atLeast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программе благоустройства дворовых территорий в 2025 году было проведено «Благоустройство придомовой территории у дома №72 по ул.Мартьянова и домов №6,№8,№10 по ул.Юбилейная в с.Курмыш Пильнинского района Нижегородской области» за счет средств  областного и местного бюджетов.</w:t>
      </w:r>
    </w:p>
    <w:p w14:paraId="55000000">
      <w:pPr>
        <w:pStyle w:val="Style_3"/>
        <w:spacing w:line="240" w:lineRule="auto"/>
        <w:ind/>
        <w:jc w:val="left"/>
        <w:rPr>
          <w:sz w:val="24"/>
        </w:rPr>
      </w:pPr>
    </w:p>
    <w:p w14:paraId="56000000">
      <w:pPr>
        <w:spacing w:after="0" w:line="240" w:lineRule="auto"/>
        <w:ind w:firstLine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«Сельский Дом культуры»</w:t>
      </w:r>
    </w:p>
    <w:p w14:paraId="57000000">
      <w:pPr>
        <w:spacing w:after="0" w:line="240" w:lineRule="auto"/>
        <w:ind w:firstLine="540"/>
        <w:jc w:val="center"/>
        <w:rPr>
          <w:rFonts w:ascii="Times New Roman" w:hAnsi="Times New Roman"/>
          <w:b w:val="1"/>
          <w:sz w:val="24"/>
        </w:rPr>
      </w:pPr>
    </w:p>
    <w:p w14:paraId="58000000">
      <w:pPr>
        <w:spacing w:after="0"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 Курмышским  СДК  было проведено </w:t>
      </w:r>
      <w:r>
        <w:rPr>
          <w:rFonts w:ascii="Times New Roman" w:hAnsi="Times New Roman"/>
          <w:sz w:val="24"/>
        </w:rPr>
        <w:t>172 мероприятия</w:t>
      </w:r>
      <w:r>
        <w:rPr>
          <w:rFonts w:ascii="Times New Roman" w:hAnsi="Times New Roman"/>
          <w:sz w:val="24"/>
        </w:rPr>
        <w:t xml:space="preserve">. Из них детских </w:t>
      </w:r>
      <w:r>
        <w:rPr>
          <w:rFonts w:ascii="Times New Roman" w:hAnsi="Times New Roman"/>
          <w:sz w:val="24"/>
        </w:rPr>
        <w:t>36,</w:t>
      </w:r>
      <w:r>
        <w:rPr>
          <w:rFonts w:ascii="Times New Roman" w:hAnsi="Times New Roman"/>
          <w:sz w:val="24"/>
        </w:rPr>
        <w:t xml:space="preserve"> молодежных </w:t>
      </w:r>
      <w:r>
        <w:rPr>
          <w:rFonts w:ascii="Times New Roman" w:hAnsi="Times New Roman"/>
          <w:sz w:val="24"/>
        </w:rPr>
        <w:t>93</w:t>
      </w:r>
      <w:r>
        <w:rPr>
          <w:rFonts w:ascii="Times New Roman" w:hAnsi="Times New Roman"/>
          <w:sz w:val="24"/>
        </w:rPr>
        <w:t xml:space="preserve">, информационно-просветительских </w:t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 xml:space="preserve">, разновозрастных </w:t>
      </w:r>
      <w:r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z w:val="24"/>
        </w:rPr>
        <w:t>.</w:t>
      </w:r>
    </w:p>
    <w:p w14:paraId="5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посетителей </w:t>
      </w:r>
      <w:r>
        <w:rPr>
          <w:rFonts w:ascii="Times New Roman" w:hAnsi="Times New Roman"/>
          <w:sz w:val="24"/>
        </w:rPr>
        <w:t>8892</w:t>
      </w:r>
      <w:r>
        <w:rPr>
          <w:rFonts w:ascii="Times New Roman" w:hAnsi="Times New Roman"/>
          <w:sz w:val="24"/>
        </w:rPr>
        <w:t xml:space="preserve">. Онлайн мероприятий </w:t>
      </w:r>
      <w:r>
        <w:rPr>
          <w:rFonts w:ascii="Times New Roman" w:hAnsi="Times New Roman"/>
          <w:sz w:val="24"/>
        </w:rPr>
        <w:t>108</w:t>
      </w:r>
      <w:r>
        <w:rPr>
          <w:rFonts w:ascii="Times New Roman" w:hAnsi="Times New Roman"/>
          <w:sz w:val="24"/>
        </w:rPr>
        <w:t>.</w:t>
      </w:r>
    </w:p>
    <w:p w14:paraId="5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На базе  Дома культуры работают 7 клубных формирований , в которых занимается </w:t>
      </w:r>
      <w:r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 xml:space="preserve"> человек, их них 2  кружка для детей до 14 лет -в них занимается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ребят,2  кружка для молодежи в нем занимается 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человек , 1 кружок для разновозрастной  категории  - в них занимается 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человек и 2 любительских коллектива, которые посещают 22 человека.</w:t>
      </w:r>
    </w:p>
    <w:p w14:paraId="5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Основной клубной деятельностью  являются кружки и любительские объединения. Клубные формирования  работают в соответствии с планом работы. Руководителями клубных формирований  являются  работники учреждений  и волонтеры культуры. Деятельность клубных формирований  помогает населению не только скрасить  свой досуг, развить  творческие способности, но и дает возможность достигнуть определенных результатов. </w:t>
      </w:r>
    </w:p>
    <w:p w14:paraId="5C000000">
      <w:pPr>
        <w:rPr>
          <w:rFonts w:ascii="Times New Roman" w:hAnsi="Times New Roman"/>
        </w:rPr>
      </w:pPr>
    </w:p>
    <w:p w14:paraId="5D000000">
      <w:pPr>
        <w:pStyle w:val="Style_3"/>
        <w:spacing w:line="240" w:lineRule="auto"/>
        <w:ind/>
        <w:jc w:val="left"/>
        <w:rPr>
          <w:sz w:val="24"/>
        </w:rPr>
      </w:pPr>
    </w:p>
    <w:p w14:paraId="5E000000">
      <w:pPr>
        <w:pStyle w:val="Style_3"/>
        <w:spacing w:line="240" w:lineRule="auto"/>
        <w:ind/>
        <w:jc w:val="left"/>
        <w:rPr>
          <w:sz w:val="24"/>
        </w:rPr>
      </w:pPr>
    </w:p>
    <w:p w14:paraId="5F000000">
      <w:pPr>
        <w:pStyle w:val="Style_3"/>
        <w:spacing w:line="240" w:lineRule="auto"/>
        <w:ind/>
        <w:jc w:val="left"/>
        <w:rPr>
          <w:sz w:val="24"/>
        </w:rPr>
      </w:pPr>
    </w:p>
    <w:p w14:paraId="60000000">
      <w:pPr>
        <w:pStyle w:val="Style_3"/>
        <w:spacing w:line="240" w:lineRule="auto"/>
        <w:ind/>
        <w:jc w:val="left"/>
        <w:rPr>
          <w:sz w:val="24"/>
        </w:rPr>
      </w:pPr>
    </w:p>
    <w:p w14:paraId="61000000">
      <w:pPr>
        <w:pStyle w:val="Style_3"/>
        <w:spacing w:line="240" w:lineRule="auto"/>
        <w:ind/>
        <w:jc w:val="left"/>
        <w:rPr>
          <w:sz w:val="24"/>
        </w:rPr>
      </w:pPr>
    </w:p>
    <w:p w14:paraId="62000000">
      <w:pPr>
        <w:pStyle w:val="Style_3"/>
        <w:spacing w:line="240" w:lineRule="auto"/>
        <w:ind/>
        <w:jc w:val="left"/>
        <w:rPr>
          <w:sz w:val="24"/>
        </w:rPr>
      </w:pPr>
    </w:p>
    <w:p w14:paraId="63000000">
      <w:pPr>
        <w:pStyle w:val="Style_3"/>
        <w:spacing w:line="240" w:lineRule="auto"/>
        <w:ind/>
        <w:jc w:val="left"/>
        <w:rPr>
          <w:sz w:val="24"/>
        </w:rPr>
      </w:pPr>
    </w:p>
    <w:p w14:paraId="64000000">
      <w:pPr>
        <w:pStyle w:val="Style_3"/>
        <w:spacing w:line="240" w:lineRule="auto"/>
        <w:ind/>
        <w:jc w:val="left"/>
        <w:rPr>
          <w:sz w:val="24"/>
        </w:rPr>
      </w:pPr>
    </w:p>
    <w:p w14:paraId="65000000">
      <w:pPr>
        <w:pStyle w:val="Style_3"/>
        <w:spacing w:line="240" w:lineRule="auto"/>
        <w:ind/>
        <w:jc w:val="left"/>
        <w:rPr>
          <w:sz w:val="24"/>
        </w:rPr>
      </w:pPr>
    </w:p>
    <w:p w14:paraId="66000000">
      <w:pPr>
        <w:pStyle w:val="Style_3"/>
        <w:spacing w:line="240" w:lineRule="auto"/>
        <w:ind/>
        <w:jc w:val="left"/>
        <w:rPr>
          <w:sz w:val="24"/>
        </w:rPr>
      </w:pPr>
    </w:p>
    <w:p w14:paraId="67000000">
      <w:pPr>
        <w:pStyle w:val="Style_3"/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Сведения о реализованных в 2025</w:t>
      </w:r>
      <w:r>
        <w:rPr>
          <w:b w:val="1"/>
          <w:sz w:val="24"/>
        </w:rPr>
        <w:t xml:space="preserve"> году</w:t>
      </w:r>
    </w:p>
    <w:p w14:paraId="68000000">
      <w:pPr>
        <w:pStyle w:val="Style_3"/>
        <w:spacing w:line="240" w:lineRule="auto"/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муниципальных программах</w:t>
      </w:r>
      <w:r>
        <w:rPr>
          <w:b w:val="1"/>
          <w:sz w:val="24"/>
        </w:rPr>
        <w:t xml:space="preserve">, соисполнителем которых является </w:t>
      </w:r>
    </w:p>
    <w:p w14:paraId="69000000">
      <w:pPr>
        <w:pStyle w:val="Style_3"/>
        <w:spacing w:line="240" w:lineRule="auto"/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Курмышский</w:t>
      </w:r>
      <w:r>
        <w:rPr>
          <w:b w:val="1"/>
          <w:sz w:val="24"/>
        </w:rPr>
        <w:t xml:space="preserve"> территориальный отдел </w:t>
      </w:r>
      <w:r>
        <w:rPr>
          <w:b w:val="1"/>
          <w:sz w:val="24"/>
        </w:rPr>
        <w:t xml:space="preserve"> </w:t>
      </w:r>
    </w:p>
    <w:p w14:paraId="6A000000">
      <w:pPr>
        <w:pStyle w:val="Style_3"/>
        <w:spacing w:line="240" w:lineRule="auto"/>
        <w:ind w:firstLine="540"/>
        <w:jc w:val="center"/>
      </w:pPr>
    </w:p>
    <w:tbl>
      <w:tblPr>
        <w:tblStyle w:val="Style_1"/>
        <w:tblInd w:type="dxa" w:w="-885"/>
        <w:tblLayout w:type="fixed"/>
      </w:tblPr>
      <w:tblGrid>
        <w:gridCol w:w="851"/>
        <w:gridCol w:w="5529"/>
        <w:gridCol w:w="1843"/>
        <w:gridCol w:w="1984"/>
      </w:tblGrid>
      <w:tr>
        <w:trPr>
          <w:trHeight w:hRule="atLeast" w:val="171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55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программы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Сумма, предусмотренная на 2025</w:t>
            </w:r>
            <w:r>
              <w:rPr>
                <w:rFonts w:ascii="Times New Roman" w:hAnsi="Times New Roman"/>
                <w:sz w:val="20"/>
              </w:rPr>
              <w:t xml:space="preserve"> год, </w:t>
            </w:r>
          </w:p>
          <w:p w14:paraId="6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руб. 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Исполнение, </w:t>
            </w:r>
          </w:p>
          <w:p w14:paraId="70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atLeast" w:val="1354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5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</w:t>
            </w:r>
            <w:r>
              <w:rPr>
                <w:rFonts w:ascii="Times New Roman" w:hAnsi="Times New Roman"/>
                <w:sz w:val="20"/>
              </w:rPr>
              <w:t>го муниципального округа на 2025-2027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  <w:r>
              <w:rPr>
                <w:rFonts w:ascii="Times New Roman" w:hAnsi="Times New Roman"/>
                <w:sz w:val="20"/>
              </w:rPr>
              <w:t xml:space="preserve"> (Дорожное хозяйство (дорожные фонды))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8805,5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6747,1</w:t>
            </w:r>
          </w:p>
        </w:tc>
      </w:tr>
      <w:tr>
        <w:trPr>
          <w:trHeight w:hRule="atLeast" w:val="1247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5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Пильнинского муниципального</w:t>
            </w:r>
            <w:r>
              <w:rPr>
                <w:rFonts w:ascii="Times New Roman" w:hAnsi="Times New Roman"/>
                <w:sz w:val="20"/>
              </w:rPr>
              <w:t xml:space="preserve"> округа на 2025-2027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  <w:r>
              <w:rPr>
                <w:rFonts w:ascii="Times New Roman" w:hAnsi="Times New Roman"/>
                <w:sz w:val="20"/>
              </w:rPr>
              <w:t xml:space="preserve"> (Мероприятия в сфере водоснабжения)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47,7</w:t>
            </w:r>
          </w:p>
        </w:tc>
      </w:tr>
      <w:tr>
        <w:trPr>
          <w:trHeight w:hRule="atLeast" w:val="97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5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</w:t>
            </w:r>
            <w:r>
              <w:rPr>
                <w:rFonts w:ascii="Times New Roman" w:hAnsi="Times New Roman"/>
                <w:sz w:val="20"/>
              </w:rPr>
              <w:t>го м</w:t>
            </w:r>
            <w:r>
              <w:rPr>
                <w:rFonts w:ascii="Times New Roman" w:hAnsi="Times New Roman"/>
                <w:sz w:val="20"/>
              </w:rPr>
              <w:t>униципального округа на 2025-2027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Благоустройство)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4497,5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4497,5</w:t>
            </w:r>
          </w:p>
        </w:tc>
      </w:tr>
      <w:tr>
        <w:trPr>
          <w:trHeight w:hRule="atLeast" w:val="583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5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14:paraId="7F00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«Развитие культуры Пильнинского окру</w:t>
            </w:r>
            <w:r>
              <w:rPr>
                <w:rFonts w:ascii="Times New Roman" w:hAnsi="Times New Roman"/>
                <w:sz w:val="20"/>
              </w:rPr>
              <w:t>га Нижегородской области на 202</w:t>
            </w:r>
            <w:r>
              <w:rPr>
                <w:rFonts w:ascii="Times New Roman" w:hAnsi="Times New Roman"/>
                <w:sz w:val="20"/>
              </w:rPr>
              <w:t>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1268,0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1255,0</w:t>
            </w:r>
          </w:p>
        </w:tc>
      </w:tr>
    </w:tbl>
    <w:p w14:paraId="82000000">
      <w:pPr>
        <w:spacing w:after="0" w:line="240" w:lineRule="auto"/>
        <w:ind w:firstLine="540"/>
        <w:jc w:val="center"/>
        <w:rPr>
          <w:rFonts w:ascii="Times New Roman" w:hAnsi="Times New Roman"/>
          <w:b w:val="1"/>
          <w:sz w:val="24"/>
        </w:rPr>
      </w:pPr>
    </w:p>
    <w:p w14:paraId="83000000">
      <w:pPr>
        <w:pStyle w:val="Style_4"/>
        <w:tabs>
          <w:tab w:leader="none" w:pos="5046" w:val="center"/>
          <w:tab w:leader="none" w:pos="8184" w:val="left"/>
        </w:tabs>
        <w:ind/>
        <w:jc w:val="center"/>
        <w:rPr>
          <w:rFonts w:ascii="Times New Roman" w:hAnsi="Times New Roman"/>
          <w:b w:val="1"/>
          <w:sz w:val="26"/>
        </w:rPr>
      </w:pPr>
    </w:p>
    <w:p w14:paraId="84000000">
      <w:pPr>
        <w:pStyle w:val="Style_4"/>
        <w:tabs>
          <w:tab w:leader="none" w:pos="5046" w:val="center"/>
          <w:tab w:leader="none" w:pos="8184" w:val="left"/>
        </w:tabs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Муниципальный финансовый контроль</w:t>
      </w:r>
    </w:p>
    <w:p w14:paraId="85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2025</w:t>
      </w:r>
      <w:r>
        <w:rPr>
          <w:rFonts w:ascii="Times New Roman" w:hAnsi="Times New Roman"/>
          <w:sz w:val="24"/>
        </w:rPr>
        <w:t xml:space="preserve"> году проводились внешние контрольные мероприятия контрольно-счетной комиссией Пильнинского муниципального округа</w:t>
      </w:r>
      <w:r>
        <w:rPr>
          <w:rFonts w:ascii="Times New Roman" w:hAnsi="Times New Roman"/>
          <w:sz w:val="24"/>
        </w:rPr>
        <w:t>:</w:t>
      </w:r>
    </w:p>
    <w:p w14:paraId="86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Проверка</w:t>
      </w:r>
      <w:r>
        <w:rPr>
          <w:rFonts w:ascii="Times New Roman" w:hAnsi="Times New Roman"/>
          <w:sz w:val="24"/>
        </w:rPr>
        <w:t xml:space="preserve"> годовой отчетности</w:t>
      </w:r>
      <w:r>
        <w:rPr>
          <w:rFonts w:ascii="Times New Roman" w:hAnsi="Times New Roman"/>
          <w:sz w:val="24"/>
        </w:rPr>
        <w:t xml:space="preserve"> за 2024</w:t>
      </w:r>
      <w:r>
        <w:rPr>
          <w:rFonts w:ascii="Times New Roman" w:hAnsi="Times New Roman"/>
          <w:sz w:val="24"/>
        </w:rPr>
        <w:t xml:space="preserve"> г. (З</w:t>
      </w:r>
      <w:r>
        <w:rPr>
          <w:rFonts w:ascii="Times New Roman" w:hAnsi="Times New Roman"/>
          <w:sz w:val="24"/>
        </w:rPr>
        <w:t xml:space="preserve">аключение контрольно-счетной комиссии </w:t>
      </w:r>
      <w:r>
        <w:rPr>
          <w:rFonts w:ascii="Times New Roman" w:hAnsi="Times New Roman"/>
          <w:sz w:val="24"/>
        </w:rPr>
        <w:t>Пильнинского муниципального округа Нижегородской области по результатам проверки достоверности, полноты и соответствия нормативным требованиям составления и предоставления бюджетной отчетности Курмышского территориального отдела администрации Пильнинского муниципального округа Нижегородской области за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27.03.2025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№ 01-14-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 По результатам проведения внешней проверки годовая бюджетная отчетность Курмышского территориального отдела существенных ошибок и искажений не содержит, признана достоверной. )</w:t>
      </w:r>
    </w:p>
    <w:p w14:paraId="87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8000000">
      <w:pPr>
        <w:spacing w:after="0"/>
        <w:ind/>
        <w:rPr>
          <w:rFonts w:ascii="Times New Roman" w:hAnsi="Times New Roman"/>
          <w:sz w:val="24"/>
        </w:rPr>
      </w:pPr>
    </w:p>
    <w:p w14:paraId="89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A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B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C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D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E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8F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90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91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92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муниципальных</w:t>
      </w:r>
      <w:r>
        <w:rPr>
          <w:rFonts w:ascii="Times New Roman" w:hAnsi="Times New Roman"/>
          <w:sz w:val="24"/>
        </w:rPr>
        <w:t xml:space="preserve"> программ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93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территориального отдела администрации Пильнинского муниципального округа Нижегородской области</w:t>
      </w:r>
    </w:p>
    <w:p w14:paraId="94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95000000">
      <w:pPr>
        <w:pStyle w:val="Style_3"/>
        <w:spacing w:line="240" w:lineRule="auto"/>
        <w:ind/>
        <w:jc w:val="center"/>
        <w:rPr>
          <w:b w:val="1"/>
          <w:sz w:val="24"/>
        </w:rPr>
      </w:pPr>
      <w:r>
        <w:rPr>
          <w:sz w:val="24"/>
        </w:rPr>
        <w:t>Информация о расходах на реализацию муниципальной программы</w:t>
      </w:r>
      <w:r>
        <w:rPr>
          <w:b w:val="1"/>
          <w:sz w:val="24"/>
        </w:rPr>
        <w:t xml:space="preserve">, </w:t>
      </w:r>
      <w:r>
        <w:rPr>
          <w:sz w:val="24"/>
        </w:rPr>
        <w:t>со</w:t>
      </w:r>
      <w:r>
        <w:rPr>
          <w:sz w:val="24"/>
        </w:rPr>
        <w:t xml:space="preserve">исполнителем которых является </w:t>
      </w:r>
      <w:r>
        <w:rPr>
          <w:b w:val="1"/>
          <w:sz w:val="24"/>
        </w:rPr>
        <w:t>Курмышский</w:t>
      </w:r>
      <w:r>
        <w:rPr>
          <w:b w:val="1"/>
          <w:sz w:val="24"/>
        </w:rPr>
        <w:t xml:space="preserve"> территориальный отдел</w:t>
      </w:r>
    </w:p>
    <w:tbl>
      <w:tblPr>
        <w:tblStyle w:val="Style_1"/>
        <w:tblLayout w:type="fixed"/>
        <w:tblCellMar>
          <w:left w:type="dxa" w:w="75"/>
          <w:right w:type="dxa" w:w="75"/>
        </w:tblCellMar>
      </w:tblPr>
      <w:tblGrid>
        <w:gridCol w:w="2410"/>
        <w:gridCol w:w="2551"/>
        <w:gridCol w:w="2835"/>
        <w:gridCol w:w="1276"/>
        <w:gridCol w:w="1417"/>
      </w:tblGrid>
      <w:tr>
        <w:trPr>
          <w:trHeight w:hRule="atLeast" w:val="1538"/>
        </w:trPr>
        <w:tc>
          <w:tcPr>
            <w:tcW w:type="dxa" w:w="2410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Статус и наименование</w:t>
            </w:r>
          </w:p>
        </w:tc>
        <w:tc>
          <w:tcPr>
            <w:tcW w:type="dxa" w:w="2551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Соисполнитель</w:t>
            </w:r>
          </w:p>
          <w:p w14:paraId="98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35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 ресурсного</w:t>
            </w:r>
          </w:p>
          <w:p w14:paraId="9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обеспечения</w:t>
            </w:r>
          </w:p>
        </w:tc>
        <w:tc>
          <w:tcPr>
            <w:tcW w:type="dxa" w:w="1276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  <w:p w14:paraId="9C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&lt;*&gt;</w:t>
            </w:r>
          </w:p>
        </w:tc>
        <w:tc>
          <w:tcPr>
            <w:tcW w:type="dxa" w:w="1417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Фактические</w:t>
            </w:r>
          </w:p>
          <w:p w14:paraId="9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</w:t>
            </w:r>
          </w:p>
          <w:p w14:paraId="9F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&lt;**&gt;</w:t>
            </w:r>
          </w:p>
        </w:tc>
      </w:tr>
      <w:tr>
        <w:trPr>
          <w:trHeight w:hRule="atLeast" w:val="80"/>
        </w:trPr>
        <w:tc>
          <w:tcPr>
            <w:tcW w:type="dxa" w:w="241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0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5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1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3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2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4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92"/>
        </w:trPr>
        <w:tc>
          <w:tcPr>
            <w:tcW w:type="dxa" w:w="241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5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83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27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8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41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atLeast" w:val="243"/>
        </w:trPr>
        <w:tc>
          <w:tcPr>
            <w:tcW w:type="dxa" w:w="2410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A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</w:t>
            </w:r>
          </w:p>
          <w:p w14:paraId="AB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программы</w:t>
            </w:r>
          </w:p>
          <w:p w14:paraId="AC000000">
            <w:pPr>
              <w:widowControl w:val="0"/>
              <w:spacing w:after="0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AD000000">
            <w:pPr>
              <w:widowControl w:val="0"/>
              <w:spacing w:after="0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551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E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Курмышский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type="dxa" w:w="283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AF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0"/>
              </w:rPr>
              <w:t>(1)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(2)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(3)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(4)</w:t>
            </w: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0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14618,7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12547,3</w:t>
            </w:r>
          </w:p>
        </w:tc>
      </w:tr>
      <w:tr>
        <w:trPr>
          <w:trHeight w:hRule="atLeast" w:val="285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2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     </w:t>
            </w: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3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>
        <w:trPr>
          <w:trHeight w:hRule="atLeast" w:val="343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5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6142,3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6142,3</w:t>
            </w:r>
          </w:p>
        </w:tc>
      </w:tr>
      <w:tr>
        <w:trPr>
          <w:trHeight w:hRule="atLeast" w:val="276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8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        </w:t>
            </w: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8028,1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5956,7</w:t>
            </w:r>
          </w:p>
        </w:tc>
      </w:tr>
      <w:tr>
        <w:trPr>
          <w:trHeight w:hRule="atLeast" w:val="391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B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7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  <w:p w14:paraId="BC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448,3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448,3</w:t>
            </w:r>
          </w:p>
        </w:tc>
      </w:tr>
      <w:tr>
        <w:trPr>
          <w:trHeight w:hRule="atLeast" w:val="173"/>
        </w:trPr>
        <w:tc>
          <w:tcPr>
            <w:tcW w:type="dxa" w:w="2410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BF000000">
            <w:pPr>
              <w:widowControl w:val="0"/>
              <w:numPr>
                <w:ilvl w:val="0"/>
                <w:numId w:val="2"/>
              </w:numPr>
              <w:ind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</w:t>
            </w:r>
            <w:r>
              <w:rPr>
                <w:rFonts w:ascii="Times New Roman" w:hAnsi="Times New Roman"/>
                <w:sz w:val="20"/>
              </w:rPr>
              <w:t>го муниципального округа на 2025-2027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  <w:r>
              <w:rPr>
                <w:rFonts w:ascii="Times New Roman" w:hAnsi="Times New Roman"/>
                <w:sz w:val="20"/>
              </w:rPr>
              <w:t xml:space="preserve"> Дорожное хозяйство (дорожные фонды)</w:t>
            </w:r>
          </w:p>
        </w:tc>
        <w:tc>
          <w:tcPr>
            <w:tcW w:type="dxa" w:w="2551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0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Курмышский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1000000">
            <w:pPr>
              <w:widowControl w:val="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0"/>
              </w:rPr>
              <w:t>(1)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(2)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(3)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(4)</w:t>
            </w: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2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8805,5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6747,1</w:t>
            </w:r>
          </w:p>
        </w:tc>
      </w:tr>
      <w:tr>
        <w:trPr>
          <w:trHeight w:hRule="atLeast" w:val="233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4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     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5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</w:tr>
      <w:tr>
        <w:trPr>
          <w:trHeight w:hRule="atLeast" w:val="261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7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8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3593,9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3593,9</w:t>
            </w:r>
          </w:p>
        </w:tc>
      </w:tr>
      <w:tr>
        <w:trPr>
          <w:trHeight w:hRule="atLeast" w:val="123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A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        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4918,8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C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2860,4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D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  <w:p w14:paraId="CE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CF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292,8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292,8</w:t>
            </w:r>
          </w:p>
        </w:tc>
      </w:tr>
      <w:tr>
        <w:trPr>
          <w:trHeight w:hRule="atLeast" w:val="173"/>
        </w:trPr>
        <w:tc>
          <w:tcPr>
            <w:tcW w:type="dxa" w:w="2410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1000000">
            <w:pPr>
              <w:widowControl w:val="0"/>
              <w:numPr>
                <w:ilvl w:val="0"/>
                <w:numId w:val="2"/>
              </w:numPr>
              <w:ind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</w:t>
            </w:r>
            <w:r>
              <w:rPr>
                <w:rFonts w:ascii="Times New Roman" w:hAnsi="Times New Roman"/>
                <w:sz w:val="20"/>
              </w:rPr>
              <w:t>го муниципального округа на 2025-2027</w:t>
            </w:r>
            <w:r>
              <w:rPr>
                <w:rFonts w:ascii="Times New Roman" w:hAnsi="Times New Roman"/>
                <w:sz w:val="20"/>
              </w:rPr>
              <w:t xml:space="preserve"> годы» (Мероприятия в сфере водоснабжения).</w:t>
            </w:r>
          </w:p>
        </w:tc>
        <w:tc>
          <w:tcPr>
            <w:tcW w:type="dxa" w:w="2551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2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Курмышский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type="dxa" w:w="2835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3000000">
            <w:pPr>
              <w:widowControl w:val="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0"/>
              </w:rPr>
              <w:t>(1)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(2)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(3)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(4)</w:t>
            </w:r>
          </w:p>
        </w:tc>
        <w:tc>
          <w:tcPr>
            <w:tcW w:type="dxa" w:w="127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47,7</w:t>
            </w:r>
          </w:p>
        </w:tc>
        <w:tc>
          <w:tcPr>
            <w:tcW w:type="dxa" w:w="1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47,7</w:t>
            </w:r>
          </w:p>
        </w:tc>
      </w:tr>
      <w:tr>
        <w:trPr>
          <w:trHeight w:hRule="atLeast" w:val="233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6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     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8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61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9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123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C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        </w:t>
            </w: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47,7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47,7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DF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  <w:p w14:paraId="E0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E1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E2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widowControl w:val="0"/>
              <w:ind w:firstLine="0"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Муниципальная программа «Комплексное развитие систем коммунальной инфраструктуры Пильнинско</w:t>
            </w:r>
            <w:r>
              <w:rPr>
                <w:rFonts w:ascii="Times New Roman" w:hAnsi="Times New Roman"/>
                <w:sz w:val="20"/>
              </w:rPr>
              <w:t xml:space="preserve">го муниципального округа на 2025-2027 </w:t>
            </w:r>
            <w:r>
              <w:rPr>
                <w:rFonts w:ascii="Times New Roman" w:hAnsi="Times New Roman"/>
                <w:sz w:val="20"/>
              </w:rPr>
              <w:t>годы»</w:t>
            </w:r>
          </w:p>
          <w:p w14:paraId="E4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Курмышский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widowControl w:val="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0"/>
              </w:rPr>
              <w:t>(1)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(2)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(3)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(4)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4497,5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4497,5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   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2548,4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2548,4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      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1793,6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1793,6</w:t>
            </w:r>
          </w:p>
        </w:tc>
      </w:tr>
      <w:tr>
        <w:trPr>
          <w:trHeight w:hRule="atLeast" w:val="652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  <w:p w14:paraId="F3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155,5</w:t>
            </w:r>
          </w:p>
        </w:tc>
      </w:tr>
      <w:tr>
        <w:trPr>
          <w:trHeight w:hRule="atLeast" w:val="328"/>
        </w:trPr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ind w:firstLine="0"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14:paraId="F7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«Развитие культуры Пильнинского окру</w:t>
            </w:r>
            <w:r>
              <w:rPr>
                <w:rFonts w:ascii="Times New Roman" w:hAnsi="Times New Roman"/>
                <w:sz w:val="20"/>
              </w:rPr>
              <w:t>га Нижегородской области на 2025-2027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Курмышский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widowControl w:val="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0"/>
              </w:rPr>
              <w:t>(1)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(2)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(3)</w:t>
            </w:r>
            <w:r>
              <w:rPr>
                <w:rFonts w:ascii="Times New Roman" w:hAnsi="Times New Roman"/>
                <w:b w:val="1"/>
                <w:sz w:val="20"/>
              </w:rPr>
              <w:t xml:space="preserve"> + </w:t>
            </w:r>
            <w:r>
              <w:rPr>
                <w:rFonts w:ascii="Times New Roman" w:hAnsi="Times New Roman"/>
                <w:b w:val="1"/>
                <w:sz w:val="20"/>
              </w:rPr>
              <w:t>(4)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1268,0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1255,0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   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widowControl w:val="0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      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1268,0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1255,0</w:t>
            </w:r>
          </w:p>
        </w:tc>
      </w:tr>
      <w:tr>
        <w:trPr>
          <w:trHeight w:hRule="atLeast" w:val="307"/>
        </w:trPr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widowControl w:val="0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  <w:p w14:paraId="06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14:paraId="09010000">
      <w:pPr>
        <w:rPr>
          <w:rFonts w:ascii="Times New Roman" w:hAnsi="Times New Roman"/>
          <w:sz w:val="24"/>
        </w:rPr>
      </w:pPr>
    </w:p>
    <w:p w14:paraId="0A010000">
      <w:pPr>
        <w:rPr>
          <w:rFonts w:ascii="Times New Roman" w:hAnsi="Times New Roman"/>
          <w:sz w:val="24"/>
        </w:rPr>
      </w:pPr>
    </w:p>
    <w:p w14:paraId="0B010000">
      <w:pPr>
        <w:rPr>
          <w:rFonts w:ascii="Times New Roman" w:hAnsi="Times New Roman"/>
          <w:sz w:val="24"/>
        </w:rPr>
      </w:pPr>
    </w:p>
    <w:sectPr>
      <w:pgSz w:h="16838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(%1)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  <w:rPr>
        <w:i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(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(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(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Основной текст 21"/>
    <w:basedOn w:val="Style_5"/>
    <w:link w:val="Style_11_ch"/>
    <w:pPr>
      <w:spacing w:after="0" w:line="100" w:lineRule="atLeast"/>
      <w:ind/>
      <w:jc w:val="both"/>
    </w:pPr>
    <w:rPr>
      <w:rFonts w:ascii="Times New Roman" w:hAnsi="Times New Roman"/>
      <w:sz w:val="28"/>
    </w:rPr>
  </w:style>
  <w:style w:styleId="Style_11_ch" w:type="character">
    <w:name w:val="Основной текст 21"/>
    <w:basedOn w:val="Style_5_ch"/>
    <w:link w:val="Style_11"/>
    <w:rPr>
      <w:rFonts w:ascii="Times New Roman" w:hAnsi="Times New Roman"/>
      <w:sz w:val="28"/>
    </w:rPr>
  </w:style>
  <w:style w:styleId="Style_12" w:type="paragraph">
    <w:name w:val="List Paragraph"/>
    <w:basedOn w:val="Style_5"/>
    <w:link w:val="Style_12_ch"/>
    <w:pPr>
      <w:spacing w:after="160" w:line="264" w:lineRule="auto"/>
      <w:ind w:firstLine="0" w:left="720"/>
      <w:contextualSpacing w:val="1"/>
    </w:pPr>
  </w:style>
  <w:style w:styleId="Style_12_ch" w:type="character">
    <w:name w:val="List Paragraph"/>
    <w:basedOn w:val="Style_5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alloon Text"/>
    <w:basedOn w:val="Style_5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5_ch"/>
    <w:link w:val="Style_14"/>
    <w:rPr>
      <w:rFonts w:ascii="Segoe UI" w:hAnsi="Segoe UI"/>
      <w:sz w:val="1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ConsPlusTitle"/>
    <w:link w:val="Style_16_ch"/>
    <w:rPr>
      <w:rFonts w:ascii="Times New Roman" w:hAnsi="Times New Roman"/>
      <w:b w:val="1"/>
      <w:sz w:val="24"/>
    </w:rPr>
  </w:style>
  <w:style w:styleId="Style_16_ch" w:type="character">
    <w:name w:val="ConsPlusTitle"/>
    <w:link w:val="Style_16"/>
    <w:rPr>
      <w:rFonts w:ascii="Times New Roman" w:hAnsi="Times New Roman"/>
      <w:b w:val="1"/>
      <w:sz w:val="24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3" w:type="paragraph">
    <w:name w:val="Body Text"/>
    <w:basedOn w:val="Style_5"/>
    <w:link w:val="Style_3_ch"/>
    <w:pPr>
      <w:spacing w:after="0" w:line="360" w:lineRule="auto"/>
      <w:ind/>
      <w:jc w:val="both"/>
    </w:pPr>
    <w:rPr>
      <w:rFonts w:ascii="Times New Roman" w:hAnsi="Times New Roman"/>
      <w:sz w:val="28"/>
    </w:rPr>
  </w:style>
  <w:style w:styleId="Style_3_ch" w:type="character">
    <w:name w:val="Body Text"/>
    <w:basedOn w:val="Style_5_ch"/>
    <w:link w:val="Style_3"/>
    <w:rPr>
      <w:rFonts w:ascii="Times New Roman" w:hAnsi="Times New Roman"/>
      <w:sz w:val="28"/>
    </w:rPr>
  </w:style>
  <w:style w:styleId="Style_25" w:type="paragraph">
    <w:name w:val="ConsPlusNormal"/>
    <w:link w:val="Style_25_ch"/>
    <w:pPr>
      <w:widowControl w:val="0"/>
      <w:ind/>
    </w:pPr>
    <w:rPr>
      <w:sz w:val="22"/>
    </w:rPr>
  </w:style>
  <w:style w:styleId="Style_25_ch" w:type="character">
    <w:name w:val="ConsPlusNormal"/>
    <w:link w:val="Style_25"/>
    <w:rPr>
      <w:sz w:val="22"/>
    </w:rPr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4" w:type="paragraph">
    <w:name w:val="ConsPlusNonformat"/>
    <w:link w:val="Style_4_ch"/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2026-03-26T08:44:02Z</dcterms:modified>
</cp:coreProperties>
</file>